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Pr="008F6F0C" w:rsidRDefault="008F6F0C" w:rsidP="008F6F0C">
      <w:pPr>
        <w:pStyle w:val="2"/>
        <w:spacing w:before="0" w:line="375" w:lineRule="atLeast"/>
        <w:jc w:val="center"/>
        <w:rPr>
          <w:rFonts w:ascii="Times New Roman" w:hAnsi="Times New Roman" w:cs="Times New Roman"/>
          <w:bCs w:val="0"/>
          <w:color w:val="000000"/>
          <w:spacing w:val="4"/>
          <w:sz w:val="28"/>
          <w:szCs w:val="28"/>
        </w:rPr>
      </w:pPr>
      <w:r w:rsidRPr="008F6F0C">
        <w:rPr>
          <w:rFonts w:ascii="Times New Roman" w:hAnsi="Times New Roman" w:cs="Times New Roman"/>
          <w:bCs w:val="0"/>
          <w:color w:val="000000"/>
          <w:spacing w:val="4"/>
          <w:sz w:val="28"/>
          <w:szCs w:val="28"/>
        </w:rPr>
        <w:t>ПРИМЕНЯ</w:t>
      </w:r>
      <w:r>
        <w:rPr>
          <w:rFonts w:ascii="Times New Roman" w:hAnsi="Times New Roman" w:cs="Times New Roman"/>
          <w:bCs w:val="0"/>
          <w:color w:val="000000"/>
          <w:spacing w:val="4"/>
          <w:sz w:val="28"/>
          <w:szCs w:val="28"/>
        </w:rPr>
        <w:t xml:space="preserve">ЕМЫЕ </w:t>
      </w:r>
      <w:r w:rsidRPr="008F6F0C">
        <w:rPr>
          <w:rFonts w:ascii="Times New Roman" w:hAnsi="Times New Roman" w:cs="Times New Roman"/>
          <w:bCs w:val="0"/>
          <w:color w:val="000000"/>
          <w:spacing w:val="4"/>
          <w:sz w:val="28"/>
          <w:szCs w:val="28"/>
        </w:rPr>
        <w:t>КРИТЕРИИ ДЛЯ ПРИЗНАНИЯ ИНФОРМАЦИИ ДОСТАТОЧНОЙ ПРИ ПРИНЯТИИ РЕШЕНИЯ ОБ ОСУЩ</w:t>
      </w:r>
      <w:r>
        <w:rPr>
          <w:rFonts w:ascii="Times New Roman" w:hAnsi="Times New Roman" w:cs="Times New Roman"/>
          <w:bCs w:val="0"/>
          <w:color w:val="000000"/>
          <w:spacing w:val="4"/>
          <w:sz w:val="28"/>
          <w:szCs w:val="28"/>
        </w:rPr>
        <w:t xml:space="preserve">ЕСТВЛЕНИИ </w:t>
      </w:r>
      <w:proofErr w:type="gramStart"/>
      <w:r>
        <w:rPr>
          <w:rFonts w:ascii="Times New Roman" w:hAnsi="Times New Roman" w:cs="Times New Roman"/>
          <w:bCs w:val="0"/>
          <w:color w:val="000000"/>
          <w:spacing w:val="4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 w:val="0"/>
          <w:color w:val="000000"/>
          <w:spacing w:val="4"/>
          <w:sz w:val="28"/>
          <w:szCs w:val="28"/>
        </w:rPr>
        <w:t xml:space="preserve"> РАСХОДАМИ</w:t>
      </w:r>
    </w:p>
    <w:p w:rsidR="008F6F0C" w:rsidRDefault="008F6F0C" w:rsidP="008F6F0C">
      <w:pPr>
        <w:pStyle w:val="a4"/>
        <w:spacing w:before="150" w:beforeAutospacing="0" w:after="150" w:afterAutospacing="0" w:line="330" w:lineRule="atLeast"/>
        <w:jc w:val="both"/>
        <w:rPr>
          <w:color w:val="383838"/>
          <w:spacing w:val="4"/>
          <w:sz w:val="28"/>
          <w:szCs w:val="28"/>
        </w:rPr>
      </w:pP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proofErr w:type="gramStart"/>
      <w:r w:rsidRPr="002303A0">
        <w:rPr>
          <w:color w:val="383838"/>
          <w:spacing w:val="4"/>
          <w:sz w:val="28"/>
          <w:szCs w:val="28"/>
        </w:rPr>
        <w:t>В соответствии с частью 1 статьи 4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 </w:t>
      </w:r>
      <w:proofErr w:type="gramStart"/>
      <w:r w:rsidRPr="002303A0">
        <w:rPr>
          <w:color w:val="383838"/>
          <w:spacing w:val="4"/>
          <w:sz w:val="28"/>
          <w:szCs w:val="28"/>
        </w:rPr>
        <w:t>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При этом</w:t>
      </w:r>
      <w:proofErr w:type="gramStart"/>
      <w:r w:rsidRPr="002303A0">
        <w:rPr>
          <w:color w:val="383838"/>
          <w:spacing w:val="4"/>
          <w:sz w:val="28"/>
          <w:szCs w:val="28"/>
        </w:rPr>
        <w:t>,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№ 230-ФЗ.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В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имущество.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Принятию решения о проведении контроля за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При этом</w:t>
      </w:r>
      <w:proofErr w:type="gramStart"/>
      <w:r w:rsidRPr="002303A0">
        <w:rPr>
          <w:color w:val="383838"/>
          <w:spacing w:val="4"/>
          <w:sz w:val="28"/>
          <w:szCs w:val="28"/>
        </w:rPr>
        <w:t>,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 наличие достаточности должно определяться в каждом случае индивидуально к сложившейся ситуации.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– о доходах, раздел 6 – об обязательствах имущественного характера) могут быть отражены сведения, объясняющие соответствие расходов доходам.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lastRenderedPageBreak/>
        <w:t>В частности, например, кредитные обязательства в раздел 1 справки не включаются, но их следует учитывать при определении такого соответствия.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С другой стороны, не</w:t>
      </w:r>
      <w:r w:rsidR="00A6191D">
        <w:rPr>
          <w:color w:val="383838"/>
          <w:spacing w:val="4"/>
          <w:sz w:val="28"/>
          <w:szCs w:val="28"/>
        </w:rPr>
        <w:t xml:space="preserve"> </w:t>
      </w:r>
      <w:bookmarkStart w:id="0" w:name="_GoBack"/>
      <w:bookmarkEnd w:id="0"/>
      <w:r w:rsidRPr="002303A0">
        <w:rPr>
          <w:color w:val="383838"/>
          <w:spacing w:val="4"/>
          <w:sz w:val="28"/>
          <w:szCs w:val="28"/>
        </w:rPr>
        <w:t xml:space="preserve">заполнение раздела 2 при одновременном указании приобретенного имущества и источников средств в иных разделах само по себе также не нельзя рассматривать как достаточность для принятия решения о </w:t>
      </w:r>
      <w:proofErr w:type="gramStart"/>
      <w:r w:rsidRPr="002303A0">
        <w:rPr>
          <w:color w:val="383838"/>
          <w:spacing w:val="4"/>
          <w:sz w:val="28"/>
          <w:szCs w:val="28"/>
        </w:rPr>
        <w:t>контроле за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 расходами.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Ключевым параметром достаточности, на наш взгляд, является выявление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 xml:space="preserve">Также следует </w:t>
      </w:r>
      <w:proofErr w:type="gramStart"/>
      <w:r w:rsidRPr="002303A0">
        <w:rPr>
          <w:color w:val="383838"/>
          <w:spacing w:val="4"/>
          <w:sz w:val="28"/>
          <w:szCs w:val="28"/>
        </w:rPr>
        <w:t>иметь ввиду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, что главной целью контроля за расходами является проверка достоверности и полноты представленных сведений (пункт 2 части 4 статьи 4 Федерального закона от 03.12.2012 № 230-ФЗ). 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</w:t>
      </w:r>
      <w:proofErr w:type="gramStart"/>
      <w:r w:rsidRPr="002303A0">
        <w:rPr>
          <w:color w:val="383838"/>
          <w:spacing w:val="4"/>
          <w:sz w:val="28"/>
          <w:szCs w:val="28"/>
        </w:rPr>
        <w:t>указывает на несоответствие доходов расходам и может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 служить основанием для осуществления контроля за расходами.</w:t>
      </w:r>
    </w:p>
    <w:p w:rsidR="008F6F0C" w:rsidRPr="002303A0" w:rsidRDefault="008F6F0C" w:rsidP="008F6F0C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>При таких обстоятельствах в ходе контроля за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p w:rsidR="00786FF5" w:rsidRDefault="00786FF5"/>
    <w:sectPr w:rsidR="00786FF5" w:rsidSect="00AF41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5"/>
    <w:rsid w:val="004850E5"/>
    <w:rsid w:val="00786FF5"/>
    <w:rsid w:val="008F6F0C"/>
    <w:rsid w:val="00A6191D"/>
    <w:rsid w:val="00AF4194"/>
    <w:rsid w:val="00C701D3"/>
    <w:rsid w:val="00D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F0C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8F6F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F0C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8F6F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3</cp:revision>
  <cp:lastPrinted>2018-12-25T06:44:00Z</cp:lastPrinted>
  <dcterms:created xsi:type="dcterms:W3CDTF">2018-12-25T06:45:00Z</dcterms:created>
  <dcterms:modified xsi:type="dcterms:W3CDTF">2018-12-25T06:46:00Z</dcterms:modified>
</cp:coreProperties>
</file>