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 территориальной избирательной комиссии Пригородная</w:t>
      </w:r>
      <w:r>
        <w:rPr>
          <w:b/>
          <w:sz w:val="28"/>
          <w:szCs w:val="28"/>
        </w:rPr>
        <w:t xml:space="preserve"> г.Новороссийска провела выездной семинар по подготовке к муниципальным выборам,среди председателей, секретарей четырех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участковых избирательных комиссий.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В библиотеке ст.Натухаевской председатель территориальной избирательной комиссии Пригородная провела учебу, среди  председателей, секретарей участковых избирательных комиссий 59-16; 59-19;59-20;59,28. </w:t>
      </w:r>
    </w:p>
    <w:p>
      <w:pPr>
        <w:pStyle w:val="Normal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ТИК Пригородная Патай Мери рассказала о ряде</w:t>
      </w:r>
      <w:r>
        <w:rPr>
          <w:rFonts w:cs="Times New Roman" w:ascii="Times New Roman" w:hAnsi="Times New Roman"/>
          <w:color w:val="2B2B2B"/>
          <w:sz w:val="28"/>
          <w:szCs w:val="28"/>
        </w:rPr>
        <w:t> проблемных вопросов, возникающих в ходе работы избирательных комиссий при проведении муниципальных выборов».</w:t>
      </w:r>
    </w:p>
    <w:p>
      <w:pPr>
        <w:pStyle w:val="Normal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cs="Times New Roman" w:ascii="Times New Roman" w:hAnsi="Times New Roman"/>
          <w:color w:val="2B2B2B"/>
          <w:sz w:val="28"/>
          <w:szCs w:val="28"/>
        </w:rPr>
        <w:t>В ходе деловой игры предложенной по сценарию избирательной комиссии Краснодарского края- каждый участник мог работать в роли- председателя, секретаря, наблюдателя от кандидата, члена комиссии с совещательным голосом, членом комиссии с решающим голосом и другими членами избирательного процесса.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B2B2B"/>
          <w:sz w:val="28"/>
          <w:szCs w:val="28"/>
        </w:rPr>
        <w:t>По окончанию деловой игры участники обсудили нештатные ситуации и поделились опытом.</w:t>
      </w:r>
    </w:p>
    <w:p>
      <w:pPr>
        <w:pStyle w:val="Normal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cs="Times New Roman" w:ascii="Times New Roman" w:hAnsi="Times New Roman"/>
          <w:color w:val="2B2B2B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B2B2B"/>
          <w:sz w:val="28"/>
          <w:szCs w:val="28"/>
        </w:rPr>
        <w:t>По мнению прошедших обучение членов территориальных избирательных комиссий, такой формат занятий позволяет поделиться практическим опытом и выработать единый алгоритм действий в процессе применения избирательного законодательства.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B2B2B"/>
          <w:sz w:val="28"/>
          <w:szCs w:val="28"/>
        </w:rPr>
        <w:t xml:space="preserve">Следующее обучение проведет председатель ТИК Пригородная г.Новороссийска в школе №26 среди участковых комиссий №59-26; 5918;                 </w:t>
      </w:r>
      <w:bookmarkStart w:id="0" w:name="_GoBack"/>
      <w:bookmarkEnd w:id="0"/>
      <w:r>
        <w:rPr>
          <w:rFonts w:cs="Times New Roman" w:ascii="Times New Roman" w:hAnsi="Times New Roman"/>
          <w:color w:val="2B2B2B"/>
          <w:sz w:val="28"/>
          <w:szCs w:val="28"/>
        </w:rPr>
        <w:t>59-17.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LibreOffice/7.2.2.2$Windows_X86_64 LibreOffice_project/02b2acce88a210515b4a5bb2e46cbfb63fe97d56</Application>
  <AppVersion>15.0000</AppVersion>
  <Pages>1</Pages>
  <Words>147</Words>
  <Characters>1181</Characters>
  <CharactersWithSpaces>1346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2019-04-12T04:43:00Z</dcterms:created>
  <dc:creator>мери</dc:creator>
  <dc:description/>
  <dc:language>ru-RU</dc:language>
  <cp:lastModifiedBy>мери</cp:lastModifiedBy>
  <dcterms:modified xsi:type="dcterms:W3CDTF">2019-04-12T05:04:00Z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