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31" w:rsidRPr="00623231" w:rsidRDefault="00623231" w:rsidP="00623231">
      <w:pPr>
        <w:pStyle w:val="a3"/>
        <w:widowControl w:val="0"/>
        <w:ind w:right="424"/>
        <w:jc w:val="center"/>
        <w:rPr>
          <w:rFonts w:ascii="Times New Roman" w:hAnsi="Times New Roman" w:cs="Times New Roman"/>
          <w:sz w:val="28"/>
          <w:szCs w:val="28"/>
        </w:rPr>
      </w:pPr>
      <w:r w:rsidRPr="00623231">
        <w:rPr>
          <w:rFonts w:ascii="Times New Roman" w:hAnsi="Times New Roman" w:cs="Times New Roman"/>
          <w:sz w:val="28"/>
          <w:szCs w:val="28"/>
        </w:rPr>
        <w:t xml:space="preserve">Правила размещения, </w:t>
      </w:r>
    </w:p>
    <w:p w:rsidR="00623231" w:rsidRPr="00623231" w:rsidRDefault="00623231" w:rsidP="00623231">
      <w:pPr>
        <w:pStyle w:val="a3"/>
        <w:widowControl w:val="0"/>
        <w:ind w:right="424"/>
        <w:jc w:val="center"/>
        <w:rPr>
          <w:rFonts w:ascii="Times New Roman" w:hAnsi="Times New Roman" w:cs="Times New Roman"/>
          <w:sz w:val="28"/>
          <w:szCs w:val="28"/>
        </w:rPr>
      </w:pPr>
      <w:r w:rsidRPr="00623231">
        <w:rPr>
          <w:rFonts w:ascii="Times New Roman" w:hAnsi="Times New Roman" w:cs="Times New Roman"/>
          <w:sz w:val="28"/>
          <w:szCs w:val="28"/>
        </w:rPr>
        <w:t>обустройства и эксплуатации нестационарных</w:t>
      </w:r>
    </w:p>
    <w:p w:rsidR="00623231" w:rsidRPr="00623231" w:rsidRDefault="00623231" w:rsidP="00623231">
      <w:pPr>
        <w:pStyle w:val="a3"/>
        <w:widowControl w:val="0"/>
        <w:ind w:right="424"/>
        <w:jc w:val="center"/>
        <w:rPr>
          <w:rFonts w:ascii="Times New Roman" w:hAnsi="Times New Roman" w:cs="Times New Roman"/>
          <w:sz w:val="28"/>
          <w:szCs w:val="28"/>
        </w:rPr>
      </w:pPr>
      <w:r w:rsidRPr="00623231">
        <w:rPr>
          <w:rFonts w:ascii="Times New Roman" w:hAnsi="Times New Roman" w:cs="Times New Roman"/>
          <w:sz w:val="28"/>
          <w:szCs w:val="28"/>
        </w:rPr>
        <w:t xml:space="preserve">площадок (посадочных мест) при стационарных предприятиях </w:t>
      </w:r>
    </w:p>
    <w:p w:rsidR="00623231" w:rsidRPr="00623231" w:rsidRDefault="00623231" w:rsidP="00623231">
      <w:pPr>
        <w:pStyle w:val="a3"/>
        <w:widowControl w:val="0"/>
        <w:ind w:right="424"/>
        <w:jc w:val="center"/>
        <w:rPr>
          <w:rFonts w:ascii="Times New Roman" w:eastAsia="Times New Roman" w:hAnsi="Times New Roman" w:cs="Times New Roman"/>
          <w:sz w:val="28"/>
          <w:szCs w:val="28"/>
          <w:lang w:eastAsia="ru-RU"/>
        </w:rPr>
      </w:pPr>
      <w:r w:rsidRPr="00623231">
        <w:rPr>
          <w:rFonts w:ascii="Times New Roman" w:hAnsi="Times New Roman" w:cs="Times New Roman"/>
          <w:sz w:val="28"/>
          <w:szCs w:val="28"/>
        </w:rPr>
        <w:t xml:space="preserve">общественного питания </w:t>
      </w:r>
      <w:r w:rsidRPr="00623231">
        <w:rPr>
          <w:rFonts w:ascii="Times New Roman" w:eastAsia="Times New Roman" w:hAnsi="Times New Roman" w:cs="Times New Roman"/>
          <w:sz w:val="28"/>
          <w:szCs w:val="28"/>
          <w:lang w:eastAsia="ru-RU"/>
        </w:rPr>
        <w:t>на земельных участках</w:t>
      </w:r>
    </w:p>
    <w:p w:rsidR="00623231" w:rsidRPr="00623231" w:rsidRDefault="00623231" w:rsidP="00623231">
      <w:pPr>
        <w:pStyle w:val="a3"/>
        <w:widowControl w:val="0"/>
        <w:ind w:right="424"/>
        <w:jc w:val="center"/>
        <w:rPr>
          <w:rFonts w:ascii="Times New Roman" w:hAnsi="Times New Roman" w:cs="Times New Roman"/>
          <w:sz w:val="28"/>
          <w:szCs w:val="28"/>
        </w:rPr>
      </w:pPr>
      <w:r w:rsidRPr="00623231">
        <w:rPr>
          <w:rFonts w:ascii="Times New Roman" w:eastAsia="Times New Roman" w:hAnsi="Times New Roman" w:cs="Times New Roman"/>
          <w:sz w:val="28"/>
          <w:szCs w:val="28"/>
          <w:lang w:eastAsia="ru-RU"/>
        </w:rPr>
        <w:t xml:space="preserve">находящихся в муниципальной собственности </w:t>
      </w:r>
      <w:r w:rsidRPr="00623231">
        <w:rPr>
          <w:rFonts w:ascii="Times New Roman" w:hAnsi="Times New Roman" w:cs="Times New Roman"/>
          <w:sz w:val="28"/>
          <w:szCs w:val="28"/>
        </w:rPr>
        <w:t xml:space="preserve">либо государственная собственность на которые не разграничена, расположенных на территории </w:t>
      </w:r>
      <w:r w:rsidRPr="00623231">
        <w:rPr>
          <w:rFonts w:ascii="Times New Roman" w:eastAsia="Times New Roman" w:hAnsi="Times New Roman" w:cs="Times New Roman"/>
          <w:sz w:val="28"/>
          <w:szCs w:val="28"/>
          <w:lang w:eastAsia="ru-RU"/>
        </w:rPr>
        <w:t>муниципального образования</w:t>
      </w:r>
    </w:p>
    <w:p w:rsidR="00623231" w:rsidRPr="00623231" w:rsidRDefault="00623231" w:rsidP="00623231">
      <w:pPr>
        <w:pStyle w:val="a3"/>
        <w:widowControl w:val="0"/>
        <w:ind w:right="424"/>
        <w:jc w:val="center"/>
        <w:rPr>
          <w:rFonts w:ascii="Times New Roman" w:hAnsi="Times New Roman" w:cs="Times New Roman"/>
          <w:sz w:val="28"/>
          <w:szCs w:val="28"/>
        </w:rPr>
      </w:pPr>
      <w:r w:rsidRPr="00623231">
        <w:rPr>
          <w:rFonts w:ascii="Times New Roman" w:eastAsia="Times New Roman" w:hAnsi="Times New Roman" w:cs="Times New Roman"/>
          <w:sz w:val="28"/>
          <w:szCs w:val="28"/>
          <w:lang w:eastAsia="ru-RU"/>
        </w:rPr>
        <w:t>город Новороссийск</w:t>
      </w:r>
    </w:p>
    <w:p w:rsidR="00623231" w:rsidRPr="00623231" w:rsidRDefault="00623231" w:rsidP="00623231">
      <w:pPr>
        <w:pStyle w:val="a3"/>
        <w:widowControl w:val="0"/>
        <w:ind w:right="424" w:firstLine="709"/>
        <w:jc w:val="center"/>
        <w:rPr>
          <w:rFonts w:ascii="Times New Roman" w:hAnsi="Times New Roman" w:cs="Times New Roman"/>
          <w:sz w:val="28"/>
          <w:szCs w:val="28"/>
        </w:rPr>
      </w:pPr>
    </w:p>
    <w:p w:rsidR="00623231" w:rsidRPr="00623231" w:rsidRDefault="00623231" w:rsidP="00623231">
      <w:pPr>
        <w:pStyle w:val="a3"/>
        <w:widowControl w:val="0"/>
        <w:ind w:right="424"/>
        <w:jc w:val="center"/>
        <w:rPr>
          <w:rFonts w:ascii="Times New Roman" w:hAnsi="Times New Roman" w:cs="Times New Roman"/>
          <w:sz w:val="28"/>
          <w:szCs w:val="28"/>
        </w:rPr>
      </w:pPr>
      <w:r w:rsidRPr="00623231">
        <w:rPr>
          <w:rFonts w:ascii="Times New Roman" w:hAnsi="Times New Roman" w:cs="Times New Roman"/>
          <w:sz w:val="28"/>
          <w:szCs w:val="28"/>
        </w:rPr>
        <w:t>1. Общие положения</w:t>
      </w:r>
    </w:p>
    <w:p w:rsidR="00623231" w:rsidRPr="00623231" w:rsidRDefault="00623231" w:rsidP="00623231">
      <w:pPr>
        <w:pStyle w:val="a3"/>
        <w:widowControl w:val="0"/>
        <w:tabs>
          <w:tab w:val="left" w:pos="4107"/>
        </w:tabs>
        <w:ind w:firstLine="709"/>
        <w:jc w:val="center"/>
        <w:rPr>
          <w:rFonts w:ascii="Times New Roman" w:hAnsi="Times New Roman" w:cs="Times New Roman"/>
          <w:sz w:val="28"/>
          <w:szCs w:val="28"/>
        </w:rPr>
      </w:pPr>
    </w:p>
    <w:p w:rsidR="00623231" w:rsidRPr="00623231" w:rsidRDefault="00623231" w:rsidP="00623231">
      <w:pPr>
        <w:pStyle w:val="ConsPlusNormal"/>
        <w:tabs>
          <w:tab w:val="left" w:pos="3231"/>
        </w:tabs>
        <w:ind w:firstLine="709"/>
        <w:jc w:val="both"/>
        <w:rPr>
          <w:rFonts w:ascii="Times New Roman" w:hAnsi="Times New Roman" w:cs="Times New Roman"/>
          <w:sz w:val="28"/>
          <w:szCs w:val="28"/>
        </w:rPr>
      </w:pPr>
      <w:r w:rsidRPr="00623231">
        <w:rPr>
          <w:rFonts w:ascii="Times New Roman" w:hAnsi="Times New Roman" w:cs="Times New Roman"/>
          <w:sz w:val="28"/>
          <w:szCs w:val="28"/>
        </w:rPr>
        <w:t>1.1. Нестационарные площадки (посадочные места) при предприятиях общественного питания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включаются в Схему, в порядке, определенном разделом 2 Порядка размещения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согласно приложения № 1 к настоящему Постановлению.</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1.2. Конкурсной комиссией, к «Положению об организации и проведении конкурса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принимается решение о размещении нестационарных площадок (посадочных мест) при предприятиях общественного питания, которое оформляется протоколом.</w:t>
      </w:r>
    </w:p>
    <w:p w:rsidR="00623231" w:rsidRPr="00623231" w:rsidRDefault="00623231" w:rsidP="00623231">
      <w:pPr>
        <w:pStyle w:val="ConsPlusNormal"/>
        <w:ind w:firstLine="709"/>
        <w:jc w:val="both"/>
        <w:rPr>
          <w:rFonts w:ascii="Times New Roman" w:hAnsi="Times New Roman" w:cs="Times New Roman"/>
          <w:sz w:val="28"/>
          <w:szCs w:val="28"/>
        </w:rPr>
      </w:pPr>
      <w:r w:rsidRPr="00623231">
        <w:rPr>
          <w:rFonts w:ascii="Times New Roman" w:hAnsi="Times New Roman" w:cs="Times New Roman"/>
          <w:sz w:val="28"/>
          <w:szCs w:val="28"/>
        </w:rPr>
        <w:t xml:space="preserve">Размещение нестационарных площадок (посадочных мест) при предприятиях общественного питания (далее – нестационарных площадок) осуществляется на основании договора о предоставлении права на размещение, обустройство и эксплуатацию нестационарной площадки (посадочных мест) при предприятии общественного питания на земельном участке, находящемся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(далее – Договор), заключаемого с администрацией муниципального образования город Новороссийск без прохождения процедуры торгов, по форме, согласно приложению к настоящим Правилам, в соответствии с Методикой определения начальной (минимальной) цены предмета торгов на право заключения договора на размещение нестационарных торговых объектов, нестационарных объектов по оказанию услуг на земельных участках, </w:t>
      </w:r>
      <w:r w:rsidRPr="00623231">
        <w:rPr>
          <w:rFonts w:ascii="Times New Roman" w:hAnsi="Times New Roman" w:cs="Times New Roman"/>
          <w:sz w:val="28"/>
          <w:szCs w:val="28"/>
        </w:rPr>
        <w:lastRenderedPageBreak/>
        <w:t>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1.3. Хозяйствующий субъект, осуществляющий деятельность в предприятии общественного питания (далее – Заявитель), подает заявление о предоставлении права на размещение нестационарной площадки в управление торговли и потребительского рынка администрации муниципального образования город Новороссийск с приложением:</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1.3.1.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w:t>
      </w:r>
      <w:r w:rsidR="008117FA">
        <w:rPr>
          <w:rFonts w:ascii="Times New Roman" w:hAnsi="Times New Roman" w:cs="Times New Roman"/>
          <w:sz w:val="28"/>
          <w:szCs w:val="28"/>
        </w:rPr>
        <w:t>, 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623231">
        <w:rPr>
          <w:rFonts w:ascii="Times New Roman" w:hAnsi="Times New Roman" w:cs="Times New Roman"/>
          <w:sz w:val="28"/>
          <w:szCs w:val="28"/>
        </w:rPr>
        <w:t xml:space="preserve"> - копии документа, удостоверяющего личность индивидуального предпринимателя,</w:t>
      </w:r>
      <w:r w:rsidR="008117FA">
        <w:rPr>
          <w:rFonts w:ascii="Times New Roman" w:hAnsi="Times New Roman" w:cs="Times New Roman"/>
          <w:sz w:val="28"/>
          <w:szCs w:val="28"/>
        </w:rPr>
        <w:t xml:space="preserve"> </w:t>
      </w:r>
      <w:r w:rsidRPr="00623231">
        <w:rPr>
          <w:rFonts w:ascii="Times New Roman" w:hAnsi="Times New Roman" w:cs="Times New Roman"/>
          <w:sz w:val="28"/>
          <w:szCs w:val="28"/>
        </w:rPr>
        <w:t>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1.3.2. правоустанавливающих документов на соответствующий объект общественного питания либо документов, подтверждающих право на его размещение;</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1.3.3. заявление, подтверждающие отсутствие в отношении Заявителя – юридического лица процедуры ликвидации или отсутствие решения арбитражного суда о признании Заявителя – юридического лица, индивидуального предпринимателя</w:t>
      </w:r>
      <w:r w:rsidR="008117FA">
        <w:rPr>
          <w:rFonts w:ascii="Times New Roman" w:hAnsi="Times New Roman" w:cs="Times New Roman"/>
          <w:sz w:val="28"/>
          <w:szCs w:val="28"/>
        </w:rPr>
        <w:t xml:space="preserve">, физического лица, не являющегося индивидуальным предпринимателем и применяющего </w:t>
      </w:r>
      <w:bookmarkStart w:id="0" w:name="_GoBack"/>
      <w:bookmarkEnd w:id="0"/>
      <w:r w:rsidR="008117FA">
        <w:rPr>
          <w:rFonts w:ascii="Times New Roman" w:hAnsi="Times New Roman" w:cs="Times New Roman"/>
          <w:sz w:val="28"/>
          <w:szCs w:val="28"/>
        </w:rPr>
        <w:t>специальный налоговый режим «Налог на профессиональный доход»</w:t>
      </w:r>
      <w:r w:rsidRPr="00623231">
        <w:rPr>
          <w:rFonts w:ascii="Times New Roman" w:hAnsi="Times New Roman" w:cs="Times New Roman"/>
          <w:sz w:val="28"/>
          <w:szCs w:val="28"/>
        </w:rPr>
        <w:t xml:space="preserve"> банкротом;</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1.4. В течение двадцати календарных дней Комиссия принимает решение о предоставлении Заявителю права на размещение нестационарной площадки или об отказе в предоставлении права на размещение нестационарной площадки с указанием причин отказа и направляет его Заявителю.</w:t>
      </w:r>
    </w:p>
    <w:p w:rsidR="00623231" w:rsidRPr="00623231" w:rsidRDefault="00623231" w:rsidP="00623231">
      <w:pPr>
        <w:pStyle w:val="a3"/>
        <w:widowControl w:val="0"/>
        <w:ind w:right="-2" w:firstLine="709"/>
        <w:jc w:val="both"/>
        <w:rPr>
          <w:rFonts w:ascii="Times New Roman" w:hAnsi="Times New Roman" w:cs="Times New Roman"/>
          <w:sz w:val="28"/>
          <w:szCs w:val="28"/>
        </w:rPr>
      </w:pPr>
      <w:r w:rsidRPr="00623231">
        <w:rPr>
          <w:rFonts w:ascii="Times New Roman" w:hAnsi="Times New Roman" w:cs="Times New Roman"/>
          <w:sz w:val="28"/>
          <w:szCs w:val="28"/>
        </w:rPr>
        <w:t xml:space="preserve">1.5. Заявитель, которому принято решение предоставить право размещения нестационарной площадки (посадочных мест) при стационарном предприятии общественного питания, в течение 30 календарных </w:t>
      </w:r>
      <w:proofErr w:type="gramStart"/>
      <w:r w:rsidRPr="00623231">
        <w:rPr>
          <w:rFonts w:ascii="Times New Roman" w:hAnsi="Times New Roman" w:cs="Times New Roman"/>
          <w:sz w:val="28"/>
          <w:szCs w:val="28"/>
        </w:rPr>
        <w:t>дней  с</w:t>
      </w:r>
      <w:proofErr w:type="gramEnd"/>
      <w:r w:rsidRPr="00623231">
        <w:rPr>
          <w:rFonts w:ascii="Times New Roman" w:hAnsi="Times New Roman" w:cs="Times New Roman"/>
          <w:sz w:val="28"/>
          <w:szCs w:val="28"/>
        </w:rPr>
        <w:t xml:space="preserve"> момента получения ответа согласовывает эскизный проект нестационарной площадки (посадочных мест) с управлением архитектуры и градостроительства администрации муниципального образования город Новороссийск. </w:t>
      </w:r>
    </w:p>
    <w:p w:rsidR="00623231" w:rsidRPr="00623231" w:rsidRDefault="00623231" w:rsidP="00623231">
      <w:pPr>
        <w:pStyle w:val="a3"/>
        <w:widowControl w:val="0"/>
        <w:ind w:right="-2" w:firstLine="709"/>
        <w:jc w:val="both"/>
        <w:rPr>
          <w:rFonts w:ascii="Times New Roman" w:hAnsi="Times New Roman" w:cs="Times New Roman"/>
          <w:sz w:val="28"/>
          <w:szCs w:val="28"/>
        </w:rPr>
      </w:pPr>
      <w:r w:rsidRPr="00623231">
        <w:rPr>
          <w:rFonts w:ascii="Times New Roman" w:hAnsi="Times New Roman" w:cs="Times New Roman"/>
          <w:sz w:val="28"/>
          <w:szCs w:val="28"/>
        </w:rPr>
        <w:t xml:space="preserve">После предоставления эскизного проекта нестационарной площадки (посадочных мест) согласованного управлением архитектуры и </w:t>
      </w:r>
      <w:r w:rsidRPr="00623231">
        <w:rPr>
          <w:rFonts w:ascii="Times New Roman" w:hAnsi="Times New Roman" w:cs="Times New Roman"/>
          <w:sz w:val="28"/>
          <w:szCs w:val="28"/>
        </w:rPr>
        <w:lastRenderedPageBreak/>
        <w:t>градостроительства администрации муниципального образования город Новороссийск с заявителем заключается договор, проект которого утвержден приложение к настоящим Правилам.</w:t>
      </w:r>
    </w:p>
    <w:p w:rsidR="00623231" w:rsidRPr="00623231" w:rsidRDefault="00623231" w:rsidP="00623231">
      <w:pPr>
        <w:pStyle w:val="a3"/>
        <w:widowControl w:val="0"/>
        <w:ind w:right="-2" w:firstLine="709"/>
        <w:jc w:val="both"/>
        <w:rPr>
          <w:rFonts w:ascii="Times New Roman" w:hAnsi="Times New Roman" w:cs="Times New Roman"/>
          <w:sz w:val="28"/>
          <w:szCs w:val="28"/>
        </w:rPr>
      </w:pPr>
      <w:r w:rsidRPr="00623231">
        <w:rPr>
          <w:rFonts w:ascii="Times New Roman" w:eastAsia="Times New Roman" w:hAnsi="Times New Roman" w:cs="Times New Roman"/>
          <w:sz w:val="28"/>
          <w:szCs w:val="28"/>
          <w:lang w:eastAsia="ru-RU"/>
        </w:rPr>
        <w:t>1.6. Основаниями для отказа</w:t>
      </w:r>
      <w:r w:rsidRPr="00623231">
        <w:rPr>
          <w:rFonts w:ascii="Times New Roman" w:hAnsi="Times New Roman" w:cs="Times New Roman"/>
          <w:sz w:val="28"/>
          <w:szCs w:val="28"/>
        </w:rPr>
        <w:t xml:space="preserve"> в предоставлении права на размещение нестационарных площадок </w:t>
      </w:r>
      <w:r w:rsidRPr="00623231">
        <w:rPr>
          <w:rFonts w:ascii="Times New Roman" w:eastAsia="Times New Roman" w:hAnsi="Times New Roman" w:cs="Times New Roman"/>
          <w:sz w:val="28"/>
          <w:szCs w:val="28"/>
          <w:lang w:eastAsia="ru-RU"/>
        </w:rPr>
        <w:t>являются:</w:t>
      </w:r>
    </w:p>
    <w:p w:rsidR="00623231" w:rsidRPr="00623231" w:rsidRDefault="00623231" w:rsidP="00623231">
      <w:pPr>
        <w:widowControl w:val="0"/>
        <w:spacing w:after="0" w:line="240" w:lineRule="auto"/>
        <w:ind w:firstLine="709"/>
        <w:jc w:val="both"/>
        <w:rPr>
          <w:rFonts w:ascii="Times New Roman" w:eastAsia="Calibri" w:hAnsi="Times New Roman" w:cs="Times New Roman"/>
          <w:sz w:val="28"/>
          <w:szCs w:val="28"/>
        </w:rPr>
      </w:pPr>
      <w:r w:rsidRPr="00623231">
        <w:rPr>
          <w:rFonts w:ascii="Times New Roman" w:eastAsia="Times New Roman" w:hAnsi="Times New Roman" w:cs="Times New Roman"/>
          <w:sz w:val="28"/>
          <w:szCs w:val="28"/>
        </w:rPr>
        <w:t xml:space="preserve">- не представление </w:t>
      </w:r>
      <w:r w:rsidRPr="00623231">
        <w:rPr>
          <w:rFonts w:ascii="Times New Roman" w:eastAsia="Calibri" w:hAnsi="Times New Roman" w:cs="Times New Roman"/>
          <w:sz w:val="28"/>
          <w:szCs w:val="28"/>
        </w:rPr>
        <w:t>документов, указанных в пункте 1.3. настоящих Правил;</w:t>
      </w:r>
    </w:p>
    <w:p w:rsidR="00623231" w:rsidRPr="00623231" w:rsidRDefault="00623231" w:rsidP="0062323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23231">
        <w:rPr>
          <w:rFonts w:ascii="Times New Roman" w:eastAsia="Times New Roman" w:hAnsi="Times New Roman" w:cs="Times New Roman"/>
          <w:sz w:val="28"/>
          <w:szCs w:val="28"/>
        </w:rPr>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623231" w:rsidRPr="00623231" w:rsidRDefault="00623231" w:rsidP="00623231">
      <w:pPr>
        <w:pStyle w:val="a3"/>
        <w:ind w:firstLine="709"/>
        <w:jc w:val="both"/>
        <w:rPr>
          <w:rFonts w:ascii="Times New Roman" w:hAnsi="Times New Roman" w:cs="Times New Roman"/>
          <w:sz w:val="28"/>
          <w:szCs w:val="28"/>
        </w:rPr>
      </w:pPr>
      <w:r w:rsidRPr="00623231">
        <w:rPr>
          <w:rFonts w:ascii="Times New Roman" w:eastAsia="Times New Roman" w:hAnsi="Times New Roman" w:cs="Times New Roman"/>
          <w:sz w:val="28"/>
          <w:szCs w:val="28"/>
          <w:lang w:eastAsia="ru-RU"/>
        </w:rPr>
        <w:t xml:space="preserve">- неоднократное нарушение </w:t>
      </w:r>
      <w:r w:rsidRPr="00623231">
        <w:rPr>
          <w:rFonts w:ascii="Times New Roman" w:hAnsi="Times New Roman" w:cs="Times New Roman"/>
          <w:sz w:val="28"/>
          <w:szCs w:val="28"/>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r w:rsidRPr="00623231">
        <w:rPr>
          <w:rFonts w:ascii="Times New Roman" w:eastAsia="Times New Roman" w:hAnsi="Times New Roman" w:cs="Times New Roman"/>
          <w:sz w:val="28"/>
          <w:szCs w:val="28"/>
          <w:lang w:eastAsia="ru-RU"/>
        </w:rPr>
        <w:t xml:space="preserve">, а также выявленных в отношении </w:t>
      </w:r>
      <w:r w:rsidRPr="00623231">
        <w:rPr>
          <w:rFonts w:ascii="Times New Roman" w:hAnsi="Times New Roman" w:cs="Times New Roman"/>
          <w:sz w:val="28"/>
          <w:szCs w:val="28"/>
        </w:rPr>
        <w:t xml:space="preserve">Заявителя </w:t>
      </w:r>
      <w:r w:rsidRPr="00623231">
        <w:rPr>
          <w:rFonts w:ascii="Times New Roman" w:eastAsia="Times New Roman" w:hAnsi="Times New Roman" w:cs="Times New Roman"/>
          <w:sz w:val="28"/>
          <w:szCs w:val="28"/>
          <w:lang w:eastAsia="ru-RU"/>
        </w:rPr>
        <w:t xml:space="preserve">нарушений </w:t>
      </w:r>
      <w:r w:rsidRPr="00623231">
        <w:rPr>
          <w:rFonts w:ascii="Times New Roman" w:hAnsi="Times New Roman" w:cs="Times New Roman"/>
          <w:sz w:val="28"/>
          <w:szCs w:val="28"/>
        </w:rPr>
        <w:t>требований ранее заключенного Договора</w:t>
      </w:r>
      <w:r w:rsidRPr="00623231">
        <w:rPr>
          <w:rFonts w:ascii="Times New Roman" w:eastAsia="Times New Roman" w:hAnsi="Times New Roman" w:cs="Times New Roman"/>
          <w:sz w:val="28"/>
          <w:szCs w:val="28"/>
          <w:lang w:eastAsia="ru-RU"/>
        </w:rPr>
        <w:t xml:space="preserve">, оформленных актом </w:t>
      </w:r>
      <w:r w:rsidRPr="00623231">
        <w:rPr>
          <w:rFonts w:ascii="Times New Roman" w:hAnsi="Times New Roman" w:cs="Times New Roman"/>
          <w:sz w:val="28"/>
          <w:szCs w:val="28"/>
        </w:rPr>
        <w:t>обследования нестационарного торгового объекта, нестационарного объекта по оказанию услуг на предмет выполнения участником требований договора.</w:t>
      </w:r>
    </w:p>
    <w:p w:rsidR="00623231" w:rsidRPr="00623231" w:rsidRDefault="00623231" w:rsidP="00623231">
      <w:pPr>
        <w:pStyle w:val="a3"/>
        <w:ind w:firstLine="709"/>
        <w:jc w:val="both"/>
        <w:rPr>
          <w:rFonts w:ascii="Times New Roman" w:hAnsi="Times New Roman" w:cs="Times New Roman"/>
          <w:sz w:val="28"/>
          <w:szCs w:val="28"/>
        </w:rPr>
      </w:pPr>
    </w:p>
    <w:p w:rsidR="00623231" w:rsidRPr="00623231" w:rsidRDefault="00623231" w:rsidP="00623231">
      <w:pPr>
        <w:pStyle w:val="a3"/>
        <w:ind w:firstLine="709"/>
        <w:jc w:val="center"/>
        <w:rPr>
          <w:rFonts w:ascii="Times New Roman" w:hAnsi="Times New Roman" w:cs="Times New Roman"/>
          <w:sz w:val="28"/>
          <w:szCs w:val="28"/>
        </w:rPr>
      </w:pPr>
      <w:r w:rsidRPr="00623231">
        <w:rPr>
          <w:rFonts w:ascii="Times New Roman" w:hAnsi="Times New Roman" w:cs="Times New Roman"/>
          <w:sz w:val="28"/>
          <w:szCs w:val="28"/>
        </w:rPr>
        <w:t>2. Требования к размещению нестационарных площадок при стационарных предприятиях общественного питания</w:t>
      </w:r>
    </w:p>
    <w:p w:rsidR="00623231" w:rsidRPr="00623231" w:rsidRDefault="00623231" w:rsidP="00623231">
      <w:pPr>
        <w:pStyle w:val="a3"/>
        <w:ind w:firstLine="709"/>
        <w:jc w:val="both"/>
        <w:rPr>
          <w:rFonts w:ascii="Times New Roman" w:hAnsi="Times New Roman" w:cs="Times New Roman"/>
          <w:sz w:val="28"/>
          <w:szCs w:val="28"/>
        </w:rPr>
      </w:pPr>
    </w:p>
    <w:p w:rsidR="00623231" w:rsidRPr="00623231" w:rsidRDefault="00623231" w:rsidP="00623231">
      <w:pPr>
        <w:pStyle w:val="a3"/>
        <w:widowControl w:val="0"/>
        <w:ind w:firstLine="709"/>
        <w:jc w:val="both"/>
        <w:rPr>
          <w:rFonts w:ascii="Times New Roman" w:hAnsi="Times New Roman" w:cs="Times New Roman"/>
          <w:sz w:val="28"/>
          <w:szCs w:val="28"/>
        </w:rPr>
      </w:pPr>
      <w:bookmarkStart w:id="1" w:name="P732"/>
      <w:bookmarkEnd w:id="1"/>
      <w:r w:rsidRPr="00623231">
        <w:rPr>
          <w:rFonts w:ascii="Times New Roman" w:hAnsi="Times New Roman" w:cs="Times New Roman"/>
          <w:sz w:val="28"/>
          <w:szCs w:val="28"/>
        </w:rPr>
        <w:t xml:space="preserve">2.1. Размещение нестационарных площадок должно соответствовать градостроительным, строительным, архитектурным, пожарным, санитарным, экологическим требованиям законодательства Российской Федерации, а также </w:t>
      </w:r>
      <w:hyperlink r:id="rId4" w:history="1">
        <w:r w:rsidRPr="00623231">
          <w:rPr>
            <w:rFonts w:ascii="Times New Roman" w:hAnsi="Times New Roman" w:cs="Times New Roman"/>
            <w:sz w:val="28"/>
            <w:szCs w:val="28"/>
          </w:rPr>
          <w:t>Правилам</w:t>
        </w:r>
      </w:hyperlink>
      <w:r w:rsidRPr="00623231">
        <w:rPr>
          <w:rFonts w:ascii="Times New Roman" w:hAnsi="Times New Roman" w:cs="Times New Roman"/>
          <w:sz w:val="28"/>
          <w:szCs w:val="28"/>
        </w:rPr>
        <w:t xml:space="preserve">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 </w:t>
      </w:r>
      <w:r w:rsidRPr="00623231">
        <w:rPr>
          <w:rFonts w:ascii="Times New Roman" w:hAnsi="Times New Roman" w:cs="Times New Roman"/>
          <w:sz w:val="28"/>
          <w:szCs w:val="28"/>
        </w:rPr>
        <w:tab/>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2.2. Срок действия Договора устанавливается на период размещения нестационарной площадки, но не может превышать пять лет. В случае заключения Договора с арендатором помещения срок действия Договора не может превышать срока действия договора аренды помещения, в котором оказываются услуги общественного питания.</w:t>
      </w:r>
    </w:p>
    <w:p w:rsidR="00623231" w:rsidRPr="00623231" w:rsidRDefault="00623231" w:rsidP="00623231">
      <w:pPr>
        <w:widowControl w:val="0"/>
        <w:tabs>
          <w:tab w:val="left" w:pos="567"/>
          <w:tab w:val="left" w:pos="7938"/>
        </w:tabs>
        <w:spacing w:after="0" w:line="240" w:lineRule="auto"/>
        <w:ind w:firstLine="709"/>
        <w:jc w:val="both"/>
        <w:rPr>
          <w:rFonts w:ascii="Times New Roman" w:hAnsi="Times New Roman" w:cs="Times New Roman"/>
          <w:sz w:val="28"/>
          <w:szCs w:val="28"/>
        </w:rPr>
      </w:pPr>
      <w:r w:rsidRPr="00623231">
        <w:rPr>
          <w:rFonts w:ascii="Times New Roman" w:hAnsi="Times New Roman" w:cs="Times New Roman"/>
          <w:sz w:val="28"/>
          <w:szCs w:val="28"/>
        </w:rPr>
        <w:t xml:space="preserve">2.2.1. Сторона Договора, надлежащим образом исполнявшая обязанности по соответствующему Договору, по окончании срока, предоставления права на размещение нестационарной площадки, имеет право на продление Договора на новый срок, но не более двух раз подряд. </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2.3. Нестационарная площадка должна непосредственно примыкать к предприятию общественного питания или располагаться на расстоянии не более 4 метров от такого предприятия общественного питания, при этом границы места размещения нестационарной площадки не должны нарушать права собственников и пользователей соседних помещений, зданий, строений, сооружений.</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 xml:space="preserve">Размещение нестационарной площадки на существующих внешних поверхностях здания, строения, сооружения, в котором осуществляется деятельность по оказанию услуг общественного питания предприятием </w:t>
      </w:r>
      <w:r w:rsidRPr="00623231">
        <w:rPr>
          <w:rFonts w:ascii="Times New Roman" w:hAnsi="Times New Roman" w:cs="Times New Roman"/>
          <w:sz w:val="28"/>
          <w:szCs w:val="28"/>
        </w:rPr>
        <w:lastRenderedPageBreak/>
        <w:t>общественного питания, допускается только при условии наличия у данного предприятия общественного питания прямого доступа (выхода) на эксплуатируемые стилобаты, террасы, а также иные открытые площадки, внешние поверхности, на которых планируется размещение нестационарной площадки.</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2.4. При обустройстве нестационарных площадок могут использоваться как элементы оборудования, так и сборно-разборные (легковозводимые) конструкции.</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2.5. Элементами оборудования нестационарных площадок являются: зонты, мебель, маркизы, декоративные ограждения, осветительные и обогревательные приборы, элементы вертикального озеленения, цветочницы, торгово-технологическое оборудование.</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2.6.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2.7. Обустройство нестационарных площадок сборно-разборными (легковозводимыми) конструкциями не допускается в следующих случаях:</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2.7.1. 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и/или дверным проемам здания, строения, сооружения, элементы и способ крепления разрушают архитектурные элементы здания, строения, сооружения;</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2.7.2. 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2.7.3. нарушается существующая система водоотведения (водослива) здания.</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2.8. Опорные конструкции маркиз на фасаде здания, строения не должны размещаться за пределами помещения, занимаемого предприятием общественного питания.</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2.9. Высота зонтов не должна превышать высоту первого этажа здания, строения, занимаемого предприятием общественного питания).</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2.10. При оборудовании нестационарных площадок не допускается:</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 использование кирпича, строительных блоков и плит;</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 проведение строительно-монтажных работ капитального характера;</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2.11. В случае размещения нескольких нестационарных площадок при предприятиях общественного питания, принадлежащих разным хозяйствующим субъектам и расположенных в одном здании, строении, сооружении, конструкции нестационарных площадок должны быть выполнены в единой архитектурно-художественной стилистике (единые материалы конструкции, близкая цветовая гамма). Высота ограждений и высота элементов креплений навесов должны находиться на одном уровне.</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 xml:space="preserve">2.12. Не допускаются использование звуковоспроизводящих устройств и устройств звукоусиления, игра на музыкальных инструментах, пение, а </w:t>
      </w:r>
      <w:r w:rsidRPr="00623231">
        <w:rPr>
          <w:rFonts w:ascii="Times New Roman" w:hAnsi="Times New Roman" w:cs="Times New Roman"/>
          <w:sz w:val="28"/>
          <w:szCs w:val="28"/>
        </w:rPr>
        <w:lastRenderedPageBreak/>
        <w:t>также иные действия, нарушающие покой граждан и тишину в ночное время с 23 часов 00 минут до 7 часов 00 минут.</w:t>
      </w:r>
    </w:p>
    <w:p w:rsidR="00623231" w:rsidRPr="00623231" w:rsidRDefault="00623231" w:rsidP="00623231">
      <w:pPr>
        <w:pStyle w:val="a3"/>
        <w:widowControl w:val="0"/>
        <w:ind w:firstLine="709"/>
        <w:jc w:val="both"/>
        <w:rPr>
          <w:rFonts w:ascii="Times New Roman" w:hAnsi="Times New Roman" w:cs="Times New Roman"/>
          <w:sz w:val="28"/>
          <w:szCs w:val="28"/>
        </w:rPr>
      </w:pPr>
      <w:r w:rsidRPr="00623231">
        <w:rPr>
          <w:rFonts w:ascii="Times New Roman" w:hAnsi="Times New Roman" w:cs="Times New Roman"/>
          <w:sz w:val="28"/>
          <w:szCs w:val="28"/>
        </w:rPr>
        <w:t>2.13. Не допускается использование осветительных приборов вблизи окон жилых помещений в случае попадания на окна световых лучей.</w:t>
      </w:r>
    </w:p>
    <w:p w:rsidR="00623231" w:rsidRPr="00623231" w:rsidRDefault="00623231" w:rsidP="00623231">
      <w:pPr>
        <w:pStyle w:val="a3"/>
        <w:widowControl w:val="0"/>
        <w:ind w:firstLine="709"/>
        <w:jc w:val="both"/>
        <w:rPr>
          <w:rFonts w:ascii="Times New Roman" w:eastAsia="Times New Roman" w:hAnsi="Times New Roman" w:cs="Times New Roman"/>
          <w:sz w:val="28"/>
          <w:szCs w:val="28"/>
          <w:lang w:eastAsia="ru-RU"/>
        </w:rPr>
      </w:pPr>
      <w:r w:rsidRPr="00623231">
        <w:rPr>
          <w:rFonts w:ascii="Times New Roman" w:hAnsi="Times New Roman" w:cs="Times New Roman"/>
          <w:sz w:val="28"/>
          <w:szCs w:val="28"/>
        </w:rPr>
        <w:t xml:space="preserve">2.14. Не допускается размещение на нестационарных площадках (посадочных местах) при предприятиях общественного питания, </w:t>
      </w:r>
      <w:r w:rsidRPr="00623231">
        <w:rPr>
          <w:rFonts w:ascii="Times New Roman" w:eastAsia="Times New Roman" w:hAnsi="Times New Roman" w:cs="Times New Roman"/>
          <w:sz w:val="28"/>
          <w:szCs w:val="28"/>
          <w:lang w:eastAsia="ru-RU"/>
        </w:rPr>
        <w:t xml:space="preserve">на земельных участках, находящихся в муниципальной собственности </w:t>
      </w:r>
      <w:r w:rsidRPr="00623231">
        <w:rPr>
          <w:rFonts w:ascii="Times New Roman" w:hAnsi="Times New Roman" w:cs="Times New Roman"/>
          <w:sz w:val="28"/>
          <w:szCs w:val="28"/>
        </w:rPr>
        <w:t xml:space="preserve">либо государственная собственность на которые не разграничена, расположенных на территории </w:t>
      </w:r>
      <w:r w:rsidRPr="00623231">
        <w:rPr>
          <w:rFonts w:ascii="Times New Roman" w:eastAsia="Times New Roman" w:hAnsi="Times New Roman" w:cs="Times New Roman"/>
          <w:sz w:val="28"/>
          <w:szCs w:val="28"/>
          <w:lang w:eastAsia="ru-RU"/>
        </w:rPr>
        <w:t xml:space="preserve">муниципального образования город Новороссийск, </w:t>
      </w:r>
      <w:r w:rsidRPr="00623231">
        <w:rPr>
          <w:rFonts w:ascii="Times New Roman" w:hAnsi="Times New Roman" w:cs="Times New Roman"/>
          <w:sz w:val="28"/>
          <w:szCs w:val="28"/>
        </w:rPr>
        <w:t xml:space="preserve">объектов торговли (по реализации мороженого, напитков и </w:t>
      </w:r>
      <w:proofErr w:type="spellStart"/>
      <w:r w:rsidRPr="00623231">
        <w:rPr>
          <w:rFonts w:ascii="Times New Roman" w:hAnsi="Times New Roman" w:cs="Times New Roman"/>
          <w:sz w:val="28"/>
          <w:szCs w:val="28"/>
        </w:rPr>
        <w:t>т.д</w:t>
      </w:r>
      <w:proofErr w:type="spellEnd"/>
      <w:r w:rsidRPr="00623231">
        <w:rPr>
          <w:rFonts w:ascii="Times New Roman" w:hAnsi="Times New Roman" w:cs="Times New Roman"/>
          <w:sz w:val="28"/>
          <w:szCs w:val="28"/>
        </w:rPr>
        <w:t>)</w:t>
      </w:r>
      <w:r w:rsidRPr="00623231">
        <w:rPr>
          <w:rFonts w:ascii="Times New Roman" w:eastAsia="Times New Roman" w:hAnsi="Times New Roman" w:cs="Times New Roman"/>
          <w:sz w:val="28"/>
          <w:szCs w:val="28"/>
          <w:lang w:eastAsia="ru-RU"/>
        </w:rPr>
        <w:t>.</w:t>
      </w:r>
    </w:p>
    <w:p w:rsidR="00623231" w:rsidRPr="00623231" w:rsidRDefault="00623231" w:rsidP="00623231">
      <w:pPr>
        <w:pStyle w:val="a3"/>
        <w:widowControl w:val="0"/>
        <w:jc w:val="both"/>
        <w:rPr>
          <w:rFonts w:ascii="Times New Roman" w:hAnsi="Times New Roman" w:cs="Times New Roman"/>
          <w:sz w:val="28"/>
          <w:szCs w:val="28"/>
        </w:rPr>
      </w:pPr>
    </w:p>
    <w:p w:rsidR="00623231" w:rsidRPr="00623231" w:rsidRDefault="00623231" w:rsidP="00623231">
      <w:pPr>
        <w:pStyle w:val="a3"/>
        <w:widowControl w:val="0"/>
        <w:jc w:val="both"/>
        <w:rPr>
          <w:rFonts w:ascii="Times New Roman" w:hAnsi="Times New Roman" w:cs="Times New Roman"/>
          <w:sz w:val="28"/>
          <w:szCs w:val="28"/>
        </w:rPr>
      </w:pPr>
    </w:p>
    <w:p w:rsidR="00A4355D" w:rsidRPr="00623231" w:rsidRDefault="00A4355D">
      <w:pPr>
        <w:rPr>
          <w:rFonts w:ascii="Times New Roman" w:hAnsi="Times New Roman" w:cs="Times New Roman"/>
        </w:rPr>
      </w:pPr>
    </w:p>
    <w:sectPr w:rsidR="00A4355D" w:rsidRPr="00623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90"/>
    <w:rsid w:val="00623231"/>
    <w:rsid w:val="008117FA"/>
    <w:rsid w:val="00A4355D"/>
    <w:rsid w:val="00BB1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79116-ECDF-4874-B0CF-41E88151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2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231"/>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99"/>
    <w:qFormat/>
    <w:rsid w:val="006232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4FFA57A5DD36BCD4694022BF52A96E4D938C658E9E775953319DCB1A42786E05C52CDC5345D7E8561D7AC1619FAA04B3ECFFC0262BB9B8E8E69BB33C0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1679</Words>
  <Characters>9576</Characters>
  <Application>Microsoft Office Word</Application>
  <DocSecurity>0</DocSecurity>
  <Lines>79</Lines>
  <Paragraphs>22</Paragraphs>
  <ScaleCrop>false</ScaleCrop>
  <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USER_5</dc:creator>
  <cp:keywords/>
  <dc:description/>
  <cp:lastModifiedBy>smol-pc</cp:lastModifiedBy>
  <cp:revision>3</cp:revision>
  <dcterms:created xsi:type="dcterms:W3CDTF">2022-03-02T09:47:00Z</dcterms:created>
  <dcterms:modified xsi:type="dcterms:W3CDTF">2023-03-10T08:37:00Z</dcterms:modified>
</cp:coreProperties>
</file>